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07F" w:rsidRPr="00C3207F" w:rsidRDefault="00A05A77" w:rsidP="00C3207F">
      <w:pPr>
        <w:jc w:val="center"/>
      </w:pPr>
      <w:r>
        <w:rPr>
          <w:noProof/>
          <w:lang w:eastAsia="it-I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2618740</wp:posOffset>
            </wp:positionH>
            <wp:positionV relativeFrom="paragraph">
              <wp:posOffset>5715</wp:posOffset>
            </wp:positionV>
            <wp:extent cx="1218565" cy="1130300"/>
            <wp:effectExtent l="19050" t="0" r="0" b="0"/>
            <wp:wrapNone/>
            <wp:docPr id="3" name="Immagine 3" descr="aslt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slta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565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207F" w:rsidRDefault="00C3207F">
      <w:pPr>
        <w:rPr>
          <w:u w:val="single"/>
        </w:rPr>
      </w:pPr>
    </w:p>
    <w:p w:rsidR="00C3207F" w:rsidRDefault="00C3207F">
      <w:pPr>
        <w:rPr>
          <w:u w:val="single"/>
        </w:rPr>
      </w:pPr>
    </w:p>
    <w:p w:rsidR="00C3207F" w:rsidRDefault="00C3207F">
      <w:pPr>
        <w:rPr>
          <w:u w:val="single"/>
        </w:rPr>
      </w:pPr>
    </w:p>
    <w:p w:rsidR="00C3207F" w:rsidRDefault="00C3207F">
      <w:pPr>
        <w:rPr>
          <w:u w:val="single"/>
        </w:rPr>
      </w:pPr>
    </w:p>
    <w:p w:rsidR="001708D1" w:rsidRPr="00DE5F23" w:rsidRDefault="003C726E" w:rsidP="00DE5F23">
      <w:pPr>
        <w:jc w:val="center"/>
        <w:rPr>
          <w:sz w:val="24"/>
          <w:szCs w:val="24"/>
          <w:u w:val="single"/>
        </w:rPr>
      </w:pPr>
      <w:r w:rsidRPr="00DE5F23">
        <w:rPr>
          <w:sz w:val="24"/>
          <w:szCs w:val="24"/>
          <w:u w:val="single"/>
        </w:rPr>
        <w:t>I</w:t>
      </w:r>
      <w:r w:rsidR="001708D1" w:rsidRPr="00DE5F23">
        <w:rPr>
          <w:sz w:val="24"/>
          <w:szCs w:val="24"/>
          <w:u w:val="single"/>
        </w:rPr>
        <w:t>L GIOCO PUO’</w:t>
      </w:r>
      <w:r w:rsidR="00CA0603" w:rsidRPr="00DE5F23">
        <w:rPr>
          <w:sz w:val="24"/>
          <w:szCs w:val="24"/>
          <w:u w:val="single"/>
        </w:rPr>
        <w:t xml:space="preserve"> </w:t>
      </w:r>
      <w:r w:rsidRPr="00DE5F23">
        <w:rPr>
          <w:sz w:val="24"/>
          <w:szCs w:val="24"/>
          <w:u w:val="single"/>
        </w:rPr>
        <w:t>CREARE DIPENDENZA</w:t>
      </w:r>
      <w:r w:rsidR="00DE5F23" w:rsidRPr="00DE5F23">
        <w:rPr>
          <w:sz w:val="24"/>
          <w:szCs w:val="24"/>
          <w:u w:val="single"/>
        </w:rPr>
        <w:t xml:space="preserve">. </w:t>
      </w:r>
    </w:p>
    <w:p w:rsidR="003C726E" w:rsidRDefault="00DE5F23" w:rsidP="00DE5F23">
      <w:pPr>
        <w:pStyle w:val="NormaleWeb"/>
        <w:shd w:val="clear" w:color="auto" w:fill="FFFFFF"/>
        <w:spacing w:before="28" w:beforeAutospacing="0" w:after="28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DE5F23">
        <w:rPr>
          <w:rFonts w:ascii="Calibri" w:eastAsia="Calibri" w:hAnsi="Calibri"/>
          <w:sz w:val="22"/>
          <w:szCs w:val="22"/>
          <w:lang w:eastAsia="en-US"/>
        </w:rPr>
        <w:t>Comunicato informativo</w:t>
      </w:r>
    </w:p>
    <w:p w:rsidR="00DE5F23" w:rsidRPr="00DE5F23" w:rsidRDefault="00DE5F23" w:rsidP="00DE5F23">
      <w:pPr>
        <w:pStyle w:val="NormaleWeb"/>
        <w:shd w:val="clear" w:color="auto" w:fill="FFFFFF"/>
        <w:spacing w:before="28" w:beforeAutospacing="0" w:after="28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DE5F23" w:rsidRPr="00DE5F23" w:rsidRDefault="00DE5F23" w:rsidP="00DE5F23">
      <w:pPr>
        <w:pStyle w:val="NormaleWeb"/>
        <w:shd w:val="clear" w:color="auto" w:fill="FFFFFF"/>
        <w:spacing w:before="28" w:beforeAutospacing="0" w:after="28"/>
        <w:jc w:val="center"/>
        <w:rPr>
          <w:rFonts w:ascii="Calibri" w:eastAsia="Calibri" w:hAnsi="Calibri"/>
          <w:sz w:val="22"/>
          <w:szCs w:val="22"/>
          <w:u w:val="single"/>
          <w:lang w:eastAsia="en-US"/>
        </w:rPr>
      </w:pPr>
    </w:p>
    <w:p w:rsidR="00B111F5" w:rsidRPr="00BD1747" w:rsidRDefault="00B111F5" w:rsidP="00B111F5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  <w:r w:rsidRPr="00BD1747">
        <w:rPr>
          <w:rFonts w:ascii="Arial" w:hAnsi="Arial" w:cs="Arial"/>
          <w:sz w:val="20"/>
          <w:szCs w:val="20"/>
        </w:rPr>
        <w:t>Dal 1° gennaio 2013, tutti i gestori di sale da gioco e di esercizi in cui vi sia offerta di giochi pubblici, o anche di scommesse, hanno l’obbligo di esporre ben visibile materiale informativo sul gioco d’azzardo.</w:t>
      </w:r>
    </w:p>
    <w:p w:rsidR="00B111F5" w:rsidRPr="00BD1747" w:rsidRDefault="00B111F5" w:rsidP="00B111F5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  <w:r w:rsidRPr="00BD1747">
        <w:rPr>
          <w:rFonts w:ascii="Arial" w:hAnsi="Arial" w:cs="Arial"/>
          <w:sz w:val="20"/>
          <w:szCs w:val="20"/>
        </w:rPr>
        <w:t>Lo stabilisce il</w:t>
      </w:r>
      <w:r w:rsidR="001708D1" w:rsidRPr="00BD1747">
        <w:rPr>
          <w:rFonts w:ascii="Arial" w:hAnsi="Arial" w:cs="Arial"/>
          <w:sz w:val="20"/>
          <w:szCs w:val="20"/>
        </w:rPr>
        <w:t xml:space="preserve"> decreto-legge cosiddetto Balduzzi</w:t>
      </w:r>
      <w:r w:rsidRPr="00BD1747">
        <w:rPr>
          <w:rFonts w:ascii="Arial" w:hAnsi="Arial" w:cs="Arial"/>
          <w:sz w:val="20"/>
          <w:szCs w:val="20"/>
        </w:rPr>
        <w:t xml:space="preserve"> (D.L. n° 158 del 13.09.2012, art. 7, comma 5),</w:t>
      </w:r>
      <w:r w:rsidR="001708D1" w:rsidRPr="00BD1747">
        <w:rPr>
          <w:rFonts w:ascii="Arial" w:hAnsi="Arial" w:cs="Arial"/>
          <w:sz w:val="20"/>
          <w:szCs w:val="20"/>
        </w:rPr>
        <w:t>converti</w:t>
      </w:r>
      <w:r w:rsidRPr="00BD1747">
        <w:rPr>
          <w:rFonts w:ascii="Arial" w:hAnsi="Arial" w:cs="Arial"/>
          <w:sz w:val="20"/>
          <w:szCs w:val="20"/>
        </w:rPr>
        <w:t>to in legge l’8 novembre 2012</w:t>
      </w:r>
      <w:r w:rsidR="00C9160E">
        <w:rPr>
          <w:rFonts w:ascii="Arial" w:hAnsi="Arial" w:cs="Arial"/>
          <w:sz w:val="20"/>
          <w:szCs w:val="20"/>
        </w:rPr>
        <w:t xml:space="preserve">. </w:t>
      </w:r>
    </w:p>
    <w:p w:rsidR="00BD1747" w:rsidRDefault="00B111F5" w:rsidP="00BD1747">
      <w:pPr>
        <w:pStyle w:val="NormaleWeb"/>
        <w:shd w:val="clear" w:color="auto" w:fill="FFFFFF"/>
        <w:spacing w:before="28" w:beforeAutospacing="0" w:after="28"/>
      </w:pPr>
      <w:r w:rsidRPr="00BD1747">
        <w:rPr>
          <w:rFonts w:ascii="Arial" w:hAnsi="Arial" w:cs="Arial"/>
          <w:sz w:val="20"/>
          <w:szCs w:val="20"/>
        </w:rPr>
        <w:t>Vi è dunque l’</w:t>
      </w:r>
      <w:r w:rsidRPr="00BD1747">
        <w:rPr>
          <w:rFonts w:ascii="Arial" w:hAnsi="Arial" w:cs="Arial"/>
          <w:bCs/>
          <w:sz w:val="20"/>
          <w:szCs w:val="20"/>
        </w:rPr>
        <w:t xml:space="preserve">obbligo, per </w:t>
      </w:r>
      <w:r w:rsidR="001708D1" w:rsidRPr="00BD1747">
        <w:rPr>
          <w:rFonts w:ascii="Arial" w:hAnsi="Arial" w:cs="Arial"/>
          <w:bCs/>
          <w:sz w:val="20"/>
          <w:szCs w:val="20"/>
        </w:rPr>
        <w:t xml:space="preserve"> i gestori </w:t>
      </w:r>
      <w:r w:rsidR="005D2742">
        <w:rPr>
          <w:rFonts w:ascii="Arial" w:hAnsi="Arial" w:cs="Arial"/>
          <w:bCs/>
          <w:sz w:val="20"/>
          <w:szCs w:val="20"/>
        </w:rPr>
        <w:t xml:space="preserve">di sale da gioco e di esercizi, </w:t>
      </w:r>
      <w:r w:rsidRPr="00BD1747">
        <w:rPr>
          <w:rFonts w:ascii="Arial" w:hAnsi="Arial" w:cs="Arial"/>
          <w:bCs/>
          <w:sz w:val="20"/>
          <w:szCs w:val="20"/>
        </w:rPr>
        <w:t xml:space="preserve">in cui vi sia offerta di giochi pubblichi,  ovvero di scommesse su eventi sportivi, anche ippici, e “non sportivi”  </w:t>
      </w:r>
      <w:r w:rsidR="001708D1" w:rsidRPr="00BD1747">
        <w:rPr>
          <w:rFonts w:ascii="Arial" w:hAnsi="Arial" w:cs="Arial"/>
          <w:bCs/>
          <w:sz w:val="20"/>
          <w:szCs w:val="20"/>
        </w:rPr>
        <w:t>a esporre, all’ingresso e all’interno dei l</w:t>
      </w:r>
      <w:r w:rsidRPr="00BD1747">
        <w:rPr>
          <w:rFonts w:ascii="Arial" w:hAnsi="Arial" w:cs="Arial"/>
          <w:bCs/>
          <w:sz w:val="20"/>
          <w:szCs w:val="20"/>
        </w:rPr>
        <w:t xml:space="preserve">ocali, il materiale informativo </w:t>
      </w:r>
      <w:r w:rsidR="001708D1" w:rsidRPr="00BD1747">
        <w:rPr>
          <w:rFonts w:ascii="Arial" w:hAnsi="Arial" w:cs="Arial"/>
          <w:bCs/>
          <w:sz w:val="20"/>
          <w:szCs w:val="20"/>
        </w:rPr>
        <w:t>diretto a ev</w:t>
      </w:r>
      <w:r w:rsidR="00BD1747" w:rsidRPr="00BD1747">
        <w:rPr>
          <w:rFonts w:ascii="Arial" w:hAnsi="Arial" w:cs="Arial"/>
          <w:bCs/>
          <w:sz w:val="20"/>
          <w:szCs w:val="20"/>
        </w:rPr>
        <w:t>idenziare i rischi correlati al g</w:t>
      </w:r>
      <w:r w:rsidR="00BD1747" w:rsidRPr="00BD1747">
        <w:rPr>
          <w:rFonts w:ascii="Arial" w:hAnsi="Arial" w:cs="Arial"/>
          <w:sz w:val="20"/>
          <w:szCs w:val="20"/>
        </w:rPr>
        <w:t>ioco d’azzardo patologico (GAP).</w:t>
      </w:r>
      <w:r w:rsidR="00BD1747">
        <w:rPr>
          <w:rFonts w:ascii="Verdana" w:hAnsi="Verdana"/>
          <w:sz w:val="18"/>
          <w:szCs w:val="18"/>
        </w:rPr>
        <w:t xml:space="preserve"> </w:t>
      </w:r>
    </w:p>
    <w:p w:rsidR="00B111F5" w:rsidRDefault="00B111F5" w:rsidP="00B111F5">
      <w:pPr>
        <w:pStyle w:val="NormaleWeb"/>
        <w:shd w:val="clear" w:color="auto" w:fill="FFFFFF"/>
        <w:spacing w:before="28" w:beforeAutospacing="0" w:after="28"/>
        <w:jc w:val="both"/>
        <w:rPr>
          <w:rFonts w:ascii="Verdana" w:hAnsi="Verdana"/>
          <w:sz w:val="18"/>
          <w:szCs w:val="18"/>
        </w:rPr>
      </w:pPr>
    </w:p>
    <w:p w:rsidR="003B7AB8" w:rsidRDefault="00B111F5" w:rsidP="00B111F5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  <w:r w:rsidRPr="00BD1747">
        <w:rPr>
          <w:rFonts w:ascii="Arial" w:hAnsi="Arial" w:cs="Arial"/>
          <w:sz w:val="20"/>
          <w:szCs w:val="20"/>
        </w:rPr>
        <w:t>In base a tale dettato normativo, l’Azienda Sanitaria Locale</w:t>
      </w:r>
      <w:r w:rsidR="001708D1" w:rsidRPr="00BD1747">
        <w:rPr>
          <w:rFonts w:ascii="Arial" w:hAnsi="Arial" w:cs="Arial"/>
          <w:sz w:val="20"/>
          <w:szCs w:val="20"/>
        </w:rPr>
        <w:t xml:space="preserve"> </w:t>
      </w:r>
      <w:r w:rsidRPr="00BD1747">
        <w:rPr>
          <w:rFonts w:ascii="Arial" w:hAnsi="Arial" w:cs="Arial"/>
          <w:sz w:val="20"/>
          <w:szCs w:val="20"/>
        </w:rPr>
        <w:t>di Taranto</w:t>
      </w:r>
      <w:r w:rsidR="003B7AB8" w:rsidRPr="00BD1747">
        <w:rPr>
          <w:rFonts w:ascii="Arial" w:hAnsi="Arial" w:cs="Arial"/>
          <w:sz w:val="20"/>
          <w:szCs w:val="20"/>
        </w:rPr>
        <w:t>, così come tutte le Asl del territorio nazionale,</w:t>
      </w:r>
      <w:r w:rsidR="007956A9">
        <w:rPr>
          <w:rFonts w:ascii="Arial" w:hAnsi="Arial" w:cs="Arial"/>
          <w:sz w:val="20"/>
          <w:szCs w:val="20"/>
        </w:rPr>
        <w:t xml:space="preserve"> ha predisposto</w:t>
      </w:r>
      <w:r w:rsidRPr="00BD1747">
        <w:rPr>
          <w:rFonts w:ascii="Arial" w:hAnsi="Arial" w:cs="Arial"/>
          <w:sz w:val="20"/>
          <w:szCs w:val="20"/>
        </w:rPr>
        <w:t xml:space="preserve"> il materiale informativo circa i rischi</w:t>
      </w:r>
      <w:r w:rsidR="003B7AB8" w:rsidRPr="00BD1747">
        <w:rPr>
          <w:rFonts w:ascii="Arial" w:hAnsi="Arial" w:cs="Arial"/>
          <w:color w:val="000000"/>
          <w:sz w:val="20"/>
          <w:szCs w:val="20"/>
        </w:rPr>
        <w:t xml:space="preserve"> </w:t>
      </w:r>
      <w:r w:rsidR="003B7AB8" w:rsidRPr="0069581B">
        <w:rPr>
          <w:rFonts w:ascii="Arial" w:hAnsi="Arial" w:cs="Arial"/>
          <w:color w:val="000000"/>
          <w:sz w:val="20"/>
          <w:szCs w:val="20"/>
        </w:rPr>
        <w:t xml:space="preserve">di dipendenza dalla pratica dei giochi con vincite in denaro, </w:t>
      </w:r>
      <w:r w:rsidR="00BD1747" w:rsidRPr="0069581B">
        <w:rPr>
          <w:rFonts w:ascii="Arial" w:hAnsi="Arial" w:cs="Arial"/>
          <w:color w:val="000000"/>
          <w:sz w:val="20"/>
          <w:szCs w:val="20"/>
        </w:rPr>
        <w:t>sulle probabilità di vincita, sui rischi per la salute legati al gioco e sui centri di assistenza sanitaria e di reinserimento sociale del territorio</w:t>
      </w:r>
      <w:r w:rsidR="00BD1747" w:rsidRPr="00BD1747">
        <w:rPr>
          <w:rFonts w:ascii="Arial" w:hAnsi="Arial" w:cs="Arial"/>
          <w:sz w:val="20"/>
          <w:szCs w:val="20"/>
        </w:rPr>
        <w:t>.</w:t>
      </w:r>
      <w:r w:rsidR="003B7AB8" w:rsidRPr="00BD1747">
        <w:rPr>
          <w:rFonts w:ascii="Arial" w:hAnsi="Arial" w:cs="Arial"/>
          <w:sz w:val="20"/>
          <w:szCs w:val="20"/>
        </w:rPr>
        <w:t xml:space="preserve"> Rimane, invece, a carico del concessionario dei giochi o dell’esercente, l’onere del materiale informativo</w:t>
      </w:r>
      <w:r w:rsidR="00CA3BA7">
        <w:rPr>
          <w:rFonts w:ascii="Arial" w:hAnsi="Arial" w:cs="Arial"/>
          <w:sz w:val="20"/>
          <w:szCs w:val="20"/>
        </w:rPr>
        <w:t xml:space="preserve"> circa il rischio di dipendenza.</w:t>
      </w:r>
    </w:p>
    <w:p w:rsidR="00072534" w:rsidRPr="00BD1747" w:rsidRDefault="00072534" w:rsidP="00072534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BD1747">
        <w:rPr>
          <w:rFonts w:ascii="Arial" w:hAnsi="Arial" w:cs="Arial"/>
          <w:sz w:val="20"/>
          <w:szCs w:val="20"/>
        </w:rPr>
        <w:t xml:space="preserve">l gioco d’azzardo patologico è un disturbo del comportamento che </w:t>
      </w:r>
      <w:r w:rsidRPr="00BD1747">
        <w:rPr>
          <w:rFonts w:ascii="Arial" w:hAnsi="Arial" w:cs="Arial"/>
          <w:bCs/>
          <w:sz w:val="20"/>
          <w:szCs w:val="20"/>
        </w:rPr>
        <w:t>rientra nell’area delle cosiddette “dipendenze senza sostanze”</w:t>
      </w:r>
      <w:r w:rsidR="005D2742">
        <w:rPr>
          <w:rFonts w:ascii="Arial" w:hAnsi="Arial" w:cs="Arial"/>
          <w:sz w:val="20"/>
          <w:szCs w:val="20"/>
        </w:rPr>
        <w:t>,</w:t>
      </w:r>
      <w:r w:rsidRPr="00BD1747">
        <w:rPr>
          <w:rFonts w:ascii="Arial" w:hAnsi="Arial" w:cs="Arial"/>
          <w:sz w:val="20"/>
          <w:szCs w:val="20"/>
        </w:rPr>
        <w:t xml:space="preserve"> che può sembrare innocuo, ma in realtà può provocare una pericolosa dipendenza in tutte le fasce di età. “Il giocatore patologico – spiega il volantino – sviluppa un legame sempre più forte con il gioco, trascura la famiglia, gli impegni lavorativi e la vita sociale. Aumenta progressivamente la frequenza delle giocate, il tempo passato a giocare e la somma spesa nel tentativo di recuperare le perdite, nella speranza di rifarsi”. Il rischio è quello di spendere sempre più denaro e trascorrere sempre più tempo a giocare, pensando di poter controllare la propria voglia ma senza riuscirci, diventando irritabili quando non si gioca, mentendo a familiari e amici, giungendo a commettere atti illeciti per procurarsi denaro.</w:t>
      </w:r>
    </w:p>
    <w:p w:rsidR="00072534" w:rsidRDefault="00072534" w:rsidP="002F5F94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</w:p>
    <w:p w:rsidR="00072534" w:rsidRDefault="003B7AB8" w:rsidP="002F5F94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  <w:r w:rsidRPr="00BD1747">
        <w:rPr>
          <w:rFonts w:ascii="Arial" w:hAnsi="Arial" w:cs="Arial"/>
          <w:sz w:val="20"/>
          <w:szCs w:val="20"/>
        </w:rPr>
        <w:t>A tal</w:t>
      </w:r>
      <w:r w:rsidR="002F5F94">
        <w:rPr>
          <w:rFonts w:ascii="Arial" w:hAnsi="Arial" w:cs="Arial"/>
          <w:sz w:val="20"/>
          <w:szCs w:val="20"/>
        </w:rPr>
        <w:t xml:space="preserve"> fine</w:t>
      </w:r>
      <w:r w:rsidRPr="00BD1747">
        <w:rPr>
          <w:rFonts w:ascii="Arial" w:hAnsi="Arial" w:cs="Arial"/>
          <w:sz w:val="20"/>
          <w:szCs w:val="20"/>
        </w:rPr>
        <w:t xml:space="preserve">, </w:t>
      </w:r>
      <w:r w:rsidR="00072534">
        <w:rPr>
          <w:rFonts w:ascii="Arial" w:hAnsi="Arial" w:cs="Arial"/>
          <w:sz w:val="20"/>
          <w:szCs w:val="20"/>
        </w:rPr>
        <w:t xml:space="preserve">il Dipartimento Dipendenze Patologiche della </w:t>
      </w:r>
      <w:r w:rsidR="00BD1747">
        <w:rPr>
          <w:rFonts w:ascii="Arial" w:hAnsi="Arial" w:cs="Arial"/>
          <w:sz w:val="20"/>
          <w:szCs w:val="20"/>
        </w:rPr>
        <w:t xml:space="preserve">Asl Taranto, </w:t>
      </w:r>
      <w:r w:rsidR="00BD1747" w:rsidRPr="00BD1747">
        <w:rPr>
          <w:rFonts w:ascii="Arial" w:hAnsi="Arial" w:cs="Arial"/>
          <w:sz w:val="20"/>
          <w:szCs w:val="20"/>
        </w:rPr>
        <w:t>ha “</w:t>
      </w:r>
      <w:r w:rsidR="00BD1747">
        <w:rPr>
          <w:rFonts w:ascii="Arial" w:hAnsi="Arial" w:cs="Arial"/>
          <w:sz w:val="20"/>
          <w:szCs w:val="20"/>
        </w:rPr>
        <w:t>rimodulato</w:t>
      </w:r>
      <w:r w:rsidR="00BD1747" w:rsidRPr="00BD1747">
        <w:rPr>
          <w:rFonts w:ascii="Arial" w:hAnsi="Arial" w:cs="Arial"/>
          <w:sz w:val="20"/>
          <w:szCs w:val="20"/>
        </w:rPr>
        <w:t xml:space="preserve">” il materiale informativo predisposto </w:t>
      </w:r>
      <w:r w:rsidR="00194A2E">
        <w:rPr>
          <w:rFonts w:ascii="Arial" w:hAnsi="Arial" w:cs="Arial"/>
          <w:sz w:val="20"/>
          <w:szCs w:val="20"/>
        </w:rPr>
        <w:t>dal</w:t>
      </w:r>
      <w:r w:rsidR="006F12B5">
        <w:rPr>
          <w:rFonts w:ascii="Arial" w:hAnsi="Arial" w:cs="Arial"/>
          <w:sz w:val="20"/>
          <w:szCs w:val="20"/>
        </w:rPr>
        <w:t xml:space="preserve"> Dipartimento per le </w:t>
      </w:r>
      <w:r w:rsidR="000435A2">
        <w:rPr>
          <w:rFonts w:ascii="Arial" w:hAnsi="Arial" w:cs="Arial"/>
          <w:sz w:val="20"/>
          <w:szCs w:val="20"/>
        </w:rPr>
        <w:t>Politiche Antidroga</w:t>
      </w:r>
      <w:r w:rsidR="00194A2E">
        <w:rPr>
          <w:rFonts w:ascii="Arial" w:hAnsi="Arial" w:cs="Arial"/>
          <w:sz w:val="20"/>
          <w:szCs w:val="20"/>
        </w:rPr>
        <w:t xml:space="preserve"> della Presid</w:t>
      </w:r>
      <w:r w:rsidR="00072534">
        <w:rPr>
          <w:rFonts w:ascii="Arial" w:hAnsi="Arial" w:cs="Arial"/>
          <w:sz w:val="20"/>
          <w:szCs w:val="20"/>
        </w:rPr>
        <w:t xml:space="preserve">enza del Consiglio dei Ministri, </w:t>
      </w:r>
      <w:r w:rsidR="002F5F94">
        <w:rPr>
          <w:rFonts w:ascii="Arial" w:hAnsi="Arial" w:cs="Arial"/>
          <w:sz w:val="20"/>
          <w:szCs w:val="20"/>
        </w:rPr>
        <w:t xml:space="preserve">mettendo </w:t>
      </w:r>
      <w:r w:rsidR="00BD1747" w:rsidRPr="00BD1747">
        <w:rPr>
          <w:rFonts w:ascii="Arial" w:hAnsi="Arial" w:cs="Arial"/>
          <w:sz w:val="20"/>
          <w:szCs w:val="20"/>
        </w:rPr>
        <w:t xml:space="preserve"> a disposizione</w:t>
      </w:r>
      <w:r w:rsidR="002F5F94">
        <w:rPr>
          <w:rFonts w:ascii="Arial" w:hAnsi="Arial" w:cs="Arial"/>
          <w:sz w:val="20"/>
          <w:szCs w:val="20"/>
        </w:rPr>
        <w:t xml:space="preserve"> degli esercenti </w:t>
      </w:r>
      <w:r w:rsidR="00BD1747" w:rsidRPr="00BD1747">
        <w:rPr>
          <w:rFonts w:ascii="Arial" w:hAnsi="Arial" w:cs="Arial"/>
          <w:sz w:val="20"/>
          <w:szCs w:val="20"/>
        </w:rPr>
        <w:t xml:space="preserve"> la</w:t>
      </w:r>
      <w:r w:rsidR="002F5F94">
        <w:rPr>
          <w:rFonts w:ascii="Arial" w:hAnsi="Arial" w:cs="Arial"/>
          <w:sz w:val="20"/>
          <w:szCs w:val="20"/>
        </w:rPr>
        <w:t xml:space="preserve"> locandina</w:t>
      </w:r>
      <w:r w:rsidR="00BD1747" w:rsidRPr="00BD1747">
        <w:rPr>
          <w:rFonts w:ascii="Arial" w:hAnsi="Arial" w:cs="Arial"/>
          <w:sz w:val="20"/>
          <w:szCs w:val="20"/>
        </w:rPr>
        <w:t xml:space="preserve"> da esporre al pubblico</w:t>
      </w:r>
      <w:r w:rsidR="002555C1">
        <w:rPr>
          <w:rFonts w:ascii="Arial" w:hAnsi="Arial" w:cs="Arial"/>
          <w:sz w:val="20"/>
          <w:szCs w:val="20"/>
        </w:rPr>
        <w:t xml:space="preserve"> contenente</w:t>
      </w:r>
      <w:r w:rsidR="00BD1747" w:rsidRPr="00BD1747">
        <w:rPr>
          <w:rFonts w:ascii="Arial" w:hAnsi="Arial" w:cs="Arial"/>
          <w:sz w:val="20"/>
          <w:szCs w:val="20"/>
        </w:rPr>
        <w:t>, oltre al logo dell’Azienda, anche i recapiti telefonici</w:t>
      </w:r>
      <w:r w:rsidR="00072534">
        <w:rPr>
          <w:rFonts w:ascii="Arial" w:hAnsi="Arial" w:cs="Arial"/>
          <w:sz w:val="20"/>
          <w:szCs w:val="20"/>
        </w:rPr>
        <w:t xml:space="preserve">, </w:t>
      </w:r>
      <w:r w:rsidR="00F52F2E">
        <w:rPr>
          <w:rFonts w:ascii="Arial" w:hAnsi="Arial" w:cs="Arial"/>
          <w:sz w:val="20"/>
          <w:szCs w:val="20"/>
        </w:rPr>
        <w:t xml:space="preserve">gli indirizzi </w:t>
      </w:r>
      <w:r w:rsidR="00072534">
        <w:rPr>
          <w:rFonts w:ascii="Arial" w:hAnsi="Arial" w:cs="Arial"/>
          <w:sz w:val="20"/>
          <w:szCs w:val="20"/>
        </w:rPr>
        <w:t>e gli orari di ricevimento dell’Ambulatorio Gioco Patologi</w:t>
      </w:r>
      <w:r w:rsidR="00213F8F">
        <w:rPr>
          <w:rFonts w:ascii="Arial" w:hAnsi="Arial" w:cs="Arial"/>
          <w:sz w:val="20"/>
          <w:szCs w:val="20"/>
        </w:rPr>
        <w:t xml:space="preserve">co istituito presso il Dipartimento Dipendenze Patologiche </w:t>
      </w:r>
      <w:r w:rsidR="00072534">
        <w:rPr>
          <w:rFonts w:ascii="Arial" w:hAnsi="Arial" w:cs="Arial"/>
          <w:sz w:val="20"/>
          <w:szCs w:val="20"/>
        </w:rPr>
        <w:t>di Taranto</w:t>
      </w:r>
      <w:r w:rsidR="00213F8F">
        <w:rPr>
          <w:rFonts w:ascii="Arial" w:hAnsi="Arial" w:cs="Arial"/>
          <w:sz w:val="20"/>
          <w:szCs w:val="20"/>
        </w:rPr>
        <w:t xml:space="preserve">, </w:t>
      </w:r>
      <w:r w:rsidR="00072534">
        <w:rPr>
          <w:rFonts w:ascii="Arial" w:hAnsi="Arial" w:cs="Arial"/>
          <w:sz w:val="20"/>
          <w:szCs w:val="20"/>
        </w:rPr>
        <w:t>via Lazio n. 45.</w:t>
      </w:r>
    </w:p>
    <w:p w:rsidR="00213F8F" w:rsidRDefault="00213F8F" w:rsidP="002F5F94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 servizio è gratuito, non è necessaria l’impegnativa e per fissare un primo appuntamento è possibile presentarsi di persona o telefonare al numero  099 7786214/ 201. </w:t>
      </w:r>
    </w:p>
    <w:p w:rsidR="00213F8F" w:rsidRDefault="00213F8F" w:rsidP="002F5F94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Gli orari sono i seguenti: dal lunedì al venerdì dalle 8.30 alle 13.30; martedì e giovedì dalle 14.00 alle 17.00.</w:t>
      </w:r>
    </w:p>
    <w:p w:rsidR="00213F8F" w:rsidRDefault="00213F8F" w:rsidP="002F5F94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</w:p>
    <w:p w:rsidR="00213F8F" w:rsidRDefault="00213F8F" w:rsidP="002F5F94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Alternativamente, in caso di necessità, è possibile contattare l’Associazione “Giocatori Anonimi” attiva su</w:t>
      </w:r>
      <w:r w:rsidR="009C41D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Taranto in Viale Magna Grecia (c/o </w:t>
      </w:r>
      <w:r w:rsidR="009C41DC">
        <w:rPr>
          <w:rFonts w:ascii="Arial" w:hAnsi="Arial" w:cs="Arial"/>
          <w:sz w:val="20"/>
          <w:szCs w:val="20"/>
        </w:rPr>
        <w:t>chiesa San Lorenzo da Brindisi), telefono: 340/ 1214014, e-mail: giocatori anonimi@yahoo.it.</w:t>
      </w:r>
    </w:p>
    <w:p w:rsidR="00213F8F" w:rsidRDefault="00213F8F" w:rsidP="002F5F94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L’Associazione riceve il giovedì dalle 18.30 alle 20.30 e il sabato dalle 18.00 alle 20.00.</w:t>
      </w:r>
    </w:p>
    <w:p w:rsidR="00213F8F" w:rsidRDefault="00213F8F" w:rsidP="002F5F94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</w:p>
    <w:p w:rsidR="00AA55DF" w:rsidRDefault="002F5F94" w:rsidP="00BD1747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allegato : </w:t>
      </w:r>
    </w:p>
    <w:p w:rsidR="002F5F94" w:rsidRDefault="00AA55DF" w:rsidP="00AA55DF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  <w:r w:rsidRPr="00AA55DF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="00072534">
        <w:rPr>
          <w:rFonts w:ascii="Arial" w:hAnsi="Arial" w:cs="Arial"/>
          <w:sz w:val="20"/>
          <w:szCs w:val="20"/>
        </w:rPr>
        <w:t>Locandina</w:t>
      </w:r>
      <w:r w:rsidR="009C41DC">
        <w:rPr>
          <w:rFonts w:ascii="Arial" w:hAnsi="Arial" w:cs="Arial"/>
          <w:sz w:val="20"/>
          <w:szCs w:val="20"/>
        </w:rPr>
        <w:t xml:space="preserve"> </w:t>
      </w:r>
      <w:r w:rsidR="00072534">
        <w:rPr>
          <w:rFonts w:ascii="Arial" w:hAnsi="Arial" w:cs="Arial"/>
          <w:sz w:val="20"/>
          <w:szCs w:val="20"/>
        </w:rPr>
        <w:t xml:space="preserve"> “</w:t>
      </w:r>
      <w:r w:rsidR="009C41DC">
        <w:rPr>
          <w:rFonts w:ascii="Arial" w:hAnsi="Arial" w:cs="Arial"/>
          <w:sz w:val="20"/>
          <w:szCs w:val="20"/>
        </w:rPr>
        <w:t xml:space="preserve">Il </w:t>
      </w:r>
      <w:r w:rsidR="00072534">
        <w:rPr>
          <w:rFonts w:ascii="Arial" w:hAnsi="Arial" w:cs="Arial"/>
          <w:sz w:val="20"/>
          <w:szCs w:val="20"/>
        </w:rPr>
        <w:t>Gioco</w:t>
      </w:r>
      <w:r w:rsidR="009C41DC">
        <w:rPr>
          <w:rFonts w:ascii="Arial" w:hAnsi="Arial" w:cs="Arial"/>
          <w:sz w:val="20"/>
          <w:szCs w:val="20"/>
        </w:rPr>
        <w:t xml:space="preserve"> può creare dipendenza”</w:t>
      </w:r>
    </w:p>
    <w:p w:rsidR="00AA55DF" w:rsidRPr="00BD1747" w:rsidRDefault="00AA55DF" w:rsidP="00BD1747">
      <w:pPr>
        <w:pStyle w:val="NormaleWeb"/>
        <w:shd w:val="clear" w:color="auto" w:fill="FFFFFF"/>
        <w:spacing w:before="28" w:beforeAutospacing="0" w:after="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Decreto Balduzzi (D.L. </w:t>
      </w:r>
      <w:r w:rsidRPr="00BD1747">
        <w:rPr>
          <w:rFonts w:ascii="Arial" w:hAnsi="Arial" w:cs="Arial"/>
          <w:sz w:val="20"/>
          <w:szCs w:val="20"/>
        </w:rPr>
        <w:t>n° 158 del 13.09.2012</w:t>
      </w:r>
      <w:r>
        <w:rPr>
          <w:rFonts w:ascii="Arial" w:hAnsi="Arial" w:cs="Arial"/>
          <w:sz w:val="20"/>
          <w:szCs w:val="20"/>
        </w:rPr>
        <w:t>)</w:t>
      </w:r>
    </w:p>
    <w:sectPr w:rsidR="00AA55DF" w:rsidRPr="00BD1747" w:rsidSect="00573BB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1A9E"/>
    <w:multiLevelType w:val="hybridMultilevel"/>
    <w:tmpl w:val="B860E83E"/>
    <w:lvl w:ilvl="0" w:tplc="C5F25E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56584"/>
    <w:multiLevelType w:val="hybridMultilevel"/>
    <w:tmpl w:val="8F72723A"/>
    <w:lvl w:ilvl="0" w:tplc="C5F25E32">
      <w:numFmt w:val="bullet"/>
      <w:lvlText w:val="-"/>
      <w:lvlJc w:val="left"/>
      <w:pPr>
        <w:ind w:left="77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6E697CC2"/>
    <w:multiLevelType w:val="hybridMultilevel"/>
    <w:tmpl w:val="2378F5A6"/>
    <w:lvl w:ilvl="0" w:tplc="C5F25E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compat/>
  <w:rsids>
    <w:rsidRoot w:val="001708D1"/>
    <w:rsid w:val="000435A2"/>
    <w:rsid w:val="00045820"/>
    <w:rsid w:val="00072534"/>
    <w:rsid w:val="00106A1B"/>
    <w:rsid w:val="001708D1"/>
    <w:rsid w:val="00194A2E"/>
    <w:rsid w:val="00213F8F"/>
    <w:rsid w:val="0025502D"/>
    <w:rsid w:val="002555C1"/>
    <w:rsid w:val="0028386E"/>
    <w:rsid w:val="002F5F94"/>
    <w:rsid w:val="003B7AB8"/>
    <w:rsid w:val="003C726E"/>
    <w:rsid w:val="00573BB5"/>
    <w:rsid w:val="005D2742"/>
    <w:rsid w:val="006F12B5"/>
    <w:rsid w:val="007956A9"/>
    <w:rsid w:val="00855DEB"/>
    <w:rsid w:val="00856147"/>
    <w:rsid w:val="009C41DC"/>
    <w:rsid w:val="00A05A77"/>
    <w:rsid w:val="00A859BD"/>
    <w:rsid w:val="00AA55DF"/>
    <w:rsid w:val="00B111F5"/>
    <w:rsid w:val="00B26336"/>
    <w:rsid w:val="00BD1747"/>
    <w:rsid w:val="00C3207F"/>
    <w:rsid w:val="00C9160E"/>
    <w:rsid w:val="00CA0603"/>
    <w:rsid w:val="00CA3BA7"/>
    <w:rsid w:val="00DE5F23"/>
    <w:rsid w:val="00F02A5C"/>
    <w:rsid w:val="00F52F2E"/>
    <w:rsid w:val="00F87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3BB5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708D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BD17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5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v.gruzza</cp:lastModifiedBy>
  <cp:revision>2</cp:revision>
  <cp:lastPrinted>2013-01-14T09:52:00Z</cp:lastPrinted>
  <dcterms:created xsi:type="dcterms:W3CDTF">2013-01-15T09:54:00Z</dcterms:created>
  <dcterms:modified xsi:type="dcterms:W3CDTF">2013-01-15T09:54:00Z</dcterms:modified>
</cp:coreProperties>
</file>